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5A" w:rsidRDefault="00AB235A" w:rsidP="00AB235A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5A" w:rsidRPr="00060199" w:rsidRDefault="00AB235A" w:rsidP="00AB235A">
      <w:pPr>
        <w:pStyle w:val="a8"/>
        <w:spacing w:line="252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АДМИНИСТРАЦИЯ</w:t>
      </w:r>
    </w:p>
    <w:p w:rsidR="00AB235A" w:rsidRPr="00060199" w:rsidRDefault="00366B98" w:rsidP="00AB235A">
      <w:pPr>
        <w:pStyle w:val="a8"/>
        <w:spacing w:line="252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МАРЬЕВСКОГО</w:t>
      </w:r>
      <w:r w:rsidR="00AB235A" w:rsidRPr="00060199">
        <w:rPr>
          <w:b/>
          <w:spacing w:val="20"/>
          <w:sz w:val="28"/>
        </w:rPr>
        <w:t xml:space="preserve"> МУНИЦИПАЛЬНОГО ОБРАЗОВАНИЯ</w:t>
      </w:r>
      <w:r w:rsidR="00AB235A"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AB235A" w:rsidRDefault="00AB235A" w:rsidP="00AB235A">
      <w:pPr>
        <w:pStyle w:val="a8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AB235A" w:rsidRPr="00475493" w:rsidRDefault="00D471A1" w:rsidP="00AB235A">
      <w:pPr>
        <w:jc w:val="both"/>
        <w:rPr>
          <w:sz w:val="18"/>
        </w:rPr>
      </w:pPr>
      <w:r w:rsidRPr="00D471A1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AB235A" w:rsidRPr="00AB235A" w:rsidRDefault="00AB235A" w:rsidP="00AB23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Pr="00AB23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B235A" w:rsidRPr="00AB235A" w:rsidRDefault="00AB235A" w:rsidP="00AB23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5A" w:rsidRDefault="00AB235A" w:rsidP="00AB235A">
      <w:pPr>
        <w:tabs>
          <w:tab w:val="left" w:pos="7365"/>
        </w:tabs>
        <w:rPr>
          <w:rFonts w:ascii="Times New Roman" w:hAnsi="Times New Roman" w:cs="Times New Roman"/>
          <w:b/>
          <w:sz w:val="28"/>
        </w:rPr>
      </w:pPr>
      <w:r w:rsidRPr="00AB235A">
        <w:rPr>
          <w:rFonts w:ascii="Times New Roman" w:hAnsi="Times New Roman" w:cs="Times New Roman"/>
          <w:b/>
        </w:rPr>
        <w:t xml:space="preserve"> </w:t>
      </w:r>
      <w:r w:rsidR="00366B98">
        <w:rPr>
          <w:rFonts w:ascii="Times New Roman" w:hAnsi="Times New Roman" w:cs="Times New Roman"/>
          <w:b/>
          <w:sz w:val="28"/>
        </w:rPr>
        <w:t xml:space="preserve">от 21.09.2017  года </w:t>
      </w:r>
      <w:r w:rsidR="00366B98">
        <w:rPr>
          <w:rFonts w:ascii="Times New Roman" w:hAnsi="Times New Roman" w:cs="Times New Roman"/>
          <w:b/>
          <w:sz w:val="28"/>
        </w:rPr>
        <w:tab/>
        <w:t xml:space="preserve">      № 39</w:t>
      </w:r>
    </w:p>
    <w:p w:rsidR="00AB235A" w:rsidRPr="00AB235A" w:rsidRDefault="00AB235A" w:rsidP="00AB235A">
      <w:pPr>
        <w:tabs>
          <w:tab w:val="left" w:pos="7365"/>
        </w:tabs>
        <w:rPr>
          <w:rFonts w:ascii="Times New Roman" w:hAnsi="Times New Roman" w:cs="Times New Roman"/>
          <w:b/>
          <w:sz w:val="28"/>
        </w:rPr>
      </w:pPr>
    </w:p>
    <w:p w:rsidR="00930630" w:rsidRPr="003E5F8B" w:rsidRDefault="00B22E39" w:rsidP="003E5F8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5F8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реестре расходных обязательств </w:t>
      </w:r>
    </w:p>
    <w:p w:rsidR="00B22E39" w:rsidRPr="003E5F8B" w:rsidRDefault="00366B98" w:rsidP="003E5F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5F8B" w:rsidRPr="003E5F8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50374" w:rsidRDefault="00B22E39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</w:t>
      </w:r>
      <w:hyperlink r:id="rId6" w:history="1">
        <w:r w:rsidRPr="00AB235A">
          <w:rPr>
            <w:rFonts w:ascii="Times New Roman" w:eastAsia="Times New Roman" w:hAnsi="Times New Roman" w:cs="Times New Roman"/>
            <w:sz w:val="28"/>
            <w:szCs w:val="24"/>
          </w:rPr>
          <w:t>статьей 87 Бюджетного кодекса Российской Федерации</w:t>
        </w:r>
      </w:hyperlink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  <w:r w:rsidR="009F3A68" w:rsidRPr="00AB235A">
        <w:rPr>
          <w:rFonts w:ascii="Times New Roman" w:eastAsia="Times New Roman" w:hAnsi="Times New Roman" w:cs="Times New Roman"/>
          <w:sz w:val="28"/>
          <w:szCs w:val="24"/>
        </w:rPr>
        <w:t>м</w:t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 Правительств</w:t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>а Саратовской области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 xml:space="preserve"> № 19-П от 28 января 2008 года </w:t>
      </w:r>
      <w:r w:rsidR="00FD24FB">
        <w:rPr>
          <w:rFonts w:ascii="Times New Roman" w:eastAsia="Times New Roman" w:hAnsi="Times New Roman" w:cs="Times New Roman"/>
          <w:sz w:val="28"/>
          <w:szCs w:val="24"/>
        </w:rPr>
        <w:t>«</w:t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>О реестре расходных обязательств Саратовской области</w:t>
      </w:r>
      <w:r w:rsidR="00FD24FB">
        <w:rPr>
          <w:rFonts w:ascii="Times New Roman" w:eastAsia="Times New Roman" w:hAnsi="Times New Roman" w:cs="Times New Roman"/>
          <w:sz w:val="28"/>
          <w:szCs w:val="24"/>
        </w:rPr>
        <w:t>»</w:t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E5F8B" w:rsidRPr="00AB235A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администрация  </w:t>
      </w:r>
      <w:proofErr w:type="spellStart"/>
      <w:r w:rsidR="00366B98">
        <w:rPr>
          <w:rFonts w:ascii="Times New Roman" w:eastAsia="Times New Roman" w:hAnsi="Times New Roman" w:cs="Times New Roman"/>
          <w:sz w:val="28"/>
          <w:szCs w:val="24"/>
        </w:rPr>
        <w:t>Марьевского</w:t>
      </w:r>
      <w:proofErr w:type="spellEnd"/>
      <w:r w:rsidR="00366B9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E5F8B" w:rsidRPr="00AB235A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br/>
      </w:r>
      <w:r w:rsidRPr="00AB235A">
        <w:rPr>
          <w:rFonts w:ascii="Times New Roman" w:eastAsia="Times New Roman" w:hAnsi="Times New Roman" w:cs="Times New Roman"/>
          <w:b/>
          <w:sz w:val="28"/>
          <w:szCs w:val="24"/>
        </w:rPr>
        <w:t>ПОСТАНОВЛЯЕТ:</w:t>
      </w:r>
      <w:r w:rsidRPr="00AB235A"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Pr="00AB235A">
        <w:rPr>
          <w:rFonts w:ascii="Times New Roman" w:eastAsia="Times New Roman" w:hAnsi="Times New Roman" w:cs="Times New Roman"/>
          <w:sz w:val="28"/>
          <w:szCs w:val="24"/>
        </w:rPr>
        <w:br/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>. Утвердить Порядок ведения реестра расходных обязательств</w:t>
      </w:r>
      <w:r w:rsidR="00FD24F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D24FB">
        <w:rPr>
          <w:rFonts w:ascii="Times New Roman" w:eastAsia="Times New Roman" w:hAnsi="Times New Roman" w:cs="Times New Roman"/>
          <w:sz w:val="28"/>
          <w:szCs w:val="24"/>
        </w:rPr>
        <w:t>Марьевского</w:t>
      </w:r>
      <w:proofErr w:type="spellEnd"/>
      <w:r w:rsidR="00AB23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E5F8B" w:rsidRPr="00AB235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</w:t>
      </w:r>
      <w:r w:rsidR="00C50374" w:rsidRPr="00AB235A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приложению.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br/>
      </w:r>
      <w:r w:rsidR="009F3A68" w:rsidRPr="00AB235A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. Главным распорядителям средств бюджета </w:t>
      </w:r>
      <w:proofErr w:type="spellStart"/>
      <w:r w:rsidR="00366B98">
        <w:rPr>
          <w:rFonts w:ascii="Times New Roman" w:eastAsia="Times New Roman" w:hAnsi="Times New Roman" w:cs="Times New Roman"/>
          <w:sz w:val="28"/>
          <w:szCs w:val="24"/>
        </w:rPr>
        <w:t>Марьевского</w:t>
      </w:r>
      <w:proofErr w:type="spellEnd"/>
      <w:r w:rsidR="00366B9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E5F8B" w:rsidRPr="00AB235A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обеспечить ведение реестра расходных обязательств, подлежащих исполнению в пределах утвержденных бюджетных ассигнований и лимитов бюджетных обязательств, и их представление в </w:t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 xml:space="preserve">финансовое управление 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прилагаемым Порядком.</w:t>
      </w:r>
    </w:p>
    <w:p w:rsidR="00FD24FB" w:rsidRPr="00AB235A" w:rsidRDefault="00FD24FB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4.Признать постановление № 15 от 24.04.2917 г. утратившим силу.</w:t>
      </w:r>
    </w:p>
    <w:p w:rsidR="000B2F00" w:rsidRPr="00AB235A" w:rsidRDefault="000B2F00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gramStart"/>
      <w:r w:rsidRPr="00AB235A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 Постановлен</w:t>
      </w:r>
      <w:r w:rsidR="003E5F8B" w:rsidRPr="00AB235A">
        <w:rPr>
          <w:rFonts w:ascii="Times New Roman" w:eastAsia="Times New Roman" w:hAnsi="Times New Roman" w:cs="Times New Roman"/>
          <w:sz w:val="28"/>
          <w:szCs w:val="24"/>
        </w:rPr>
        <w:t>ия оставляю за собой.</w:t>
      </w:r>
    </w:p>
    <w:p w:rsidR="00B40390" w:rsidRPr="00AB235A" w:rsidRDefault="00B22E39" w:rsidP="00AB235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B235A">
        <w:rPr>
          <w:rFonts w:ascii="Times New Roman" w:eastAsia="Times New Roman" w:hAnsi="Times New Roman" w:cs="Times New Roman"/>
          <w:sz w:val="28"/>
          <w:szCs w:val="24"/>
        </w:rPr>
        <w:br/>
      </w:r>
      <w:r w:rsidRPr="00AB235A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E5F8B" w:rsidRPr="00AB235A" w:rsidRDefault="003E5F8B" w:rsidP="003E5F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B235A"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gramStart"/>
      <w:r w:rsidRPr="00AB235A">
        <w:rPr>
          <w:rFonts w:ascii="Times New Roman" w:eastAsia="Times New Roman" w:hAnsi="Times New Roman" w:cs="Times New Roman"/>
          <w:sz w:val="28"/>
          <w:szCs w:val="24"/>
        </w:rPr>
        <w:t>.</w:t>
      </w:r>
      <w:r w:rsidR="00AB235A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End"/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лавы </w:t>
      </w:r>
      <w:r w:rsidR="00366B98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spellStart"/>
      <w:r w:rsidR="00366B98">
        <w:rPr>
          <w:rFonts w:ascii="Times New Roman" w:eastAsia="Times New Roman" w:hAnsi="Times New Roman" w:cs="Times New Roman"/>
          <w:sz w:val="28"/>
          <w:szCs w:val="24"/>
        </w:rPr>
        <w:t>Марьевского</w:t>
      </w:r>
      <w:proofErr w:type="spellEnd"/>
      <w:r w:rsidR="00366B9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22E39" w:rsidRDefault="003E5F8B" w:rsidP="003E5F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                               </w:t>
      </w:r>
      <w:r w:rsidR="00366B98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="00AB235A">
        <w:rPr>
          <w:rFonts w:ascii="Times New Roman" w:eastAsia="Times New Roman" w:hAnsi="Times New Roman" w:cs="Times New Roman"/>
          <w:sz w:val="28"/>
          <w:szCs w:val="24"/>
        </w:rPr>
        <w:t>Н.</w:t>
      </w:r>
      <w:r w:rsidR="00366B98">
        <w:rPr>
          <w:rFonts w:ascii="Times New Roman" w:eastAsia="Times New Roman" w:hAnsi="Times New Roman" w:cs="Times New Roman"/>
          <w:sz w:val="28"/>
          <w:szCs w:val="24"/>
        </w:rPr>
        <w:t>Н. Гришанова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66B98" w:rsidRPr="00AB235A" w:rsidRDefault="00366B98" w:rsidP="003E5F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B40390" w:rsidRPr="00AB235A" w:rsidRDefault="00B40390" w:rsidP="00B2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0374" w:rsidRDefault="00C50374" w:rsidP="00BF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7BE" w:rsidRDefault="00B40390" w:rsidP="0005150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40390" w:rsidRDefault="00B22E39" w:rsidP="0005150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77BE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B403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B4039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B22E39" w:rsidRDefault="00B40390" w:rsidP="0005150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FD24FB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FD2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F8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B22E39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405" w:rsidRDefault="00B40390" w:rsidP="0005150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              от </w:t>
      </w:r>
      <w:r w:rsidR="00366B98">
        <w:rPr>
          <w:rFonts w:ascii="Times New Roman" w:eastAsia="Times New Roman" w:hAnsi="Times New Roman" w:cs="Times New Roman"/>
          <w:sz w:val="24"/>
          <w:szCs w:val="24"/>
        </w:rPr>
        <w:t>21.09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66B98">
        <w:rPr>
          <w:rFonts w:ascii="Times New Roman" w:eastAsia="Times New Roman" w:hAnsi="Times New Roman" w:cs="Times New Roman"/>
          <w:sz w:val="24"/>
          <w:szCs w:val="24"/>
        </w:rPr>
        <w:t>39</w:t>
      </w:r>
      <w:r w:rsidR="00B22E39"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B22E39" w:rsidRPr="00B22E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E39" w:rsidRPr="00BF77BE" w:rsidRDefault="00B22E39" w:rsidP="0005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F77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Порядок ведения реестра расходных обязательств </w:t>
      </w:r>
      <w:proofErr w:type="spellStart"/>
      <w:r w:rsidR="00366B98">
        <w:rPr>
          <w:rFonts w:ascii="Times New Roman" w:eastAsia="Times New Roman" w:hAnsi="Times New Roman" w:cs="Times New Roman"/>
          <w:b/>
          <w:bCs/>
          <w:sz w:val="28"/>
          <w:szCs w:val="24"/>
        </w:rPr>
        <w:t>Марьевского</w:t>
      </w:r>
      <w:proofErr w:type="spellEnd"/>
      <w:r w:rsidR="00366B9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51507" w:rsidRPr="00BF77BE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образования</w:t>
      </w:r>
    </w:p>
    <w:p w:rsidR="00B22E39" w:rsidRDefault="00B22E39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1. Настоящий Порядок ведения реестра расходных обязательств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устанавливает основные принципы и правила ведения реестра расходных обязательств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 xml:space="preserve"> (далее - Реестр).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2. Реестр ведется в целях учета расходных обязательств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и оценки объема средств бюджета</w:t>
      </w:r>
      <w:r w:rsidR="0060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60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необходимых для их исполнения.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3. Ведение Реестра осуществляется на основе следующих принципов: </w:t>
      </w:r>
      <w:proofErr w:type="gramStart"/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полноты и достоверности отражения расходных обязательств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периодичности обновления сведений о расходных обязательствах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единства формата отражения сведений о расходных обязательствах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4. Реестр представляет собой периодически обновляемую единую информационную базу данных о структуре расходных обязательств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B40390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и объеме средств на их выполнение в отчетном году, текущем финансовом году, очередном финанс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овом году и в плановом периоде.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5. Реестр формируется </w:t>
      </w:r>
      <w:proofErr w:type="spellStart"/>
      <w:r w:rsidR="00FD24FB">
        <w:rPr>
          <w:rFonts w:ascii="Times New Roman" w:eastAsia="Times New Roman" w:hAnsi="Times New Roman" w:cs="Times New Roman"/>
          <w:sz w:val="24"/>
          <w:szCs w:val="24"/>
        </w:rPr>
        <w:t>Марьевским</w:t>
      </w:r>
      <w:proofErr w:type="spellEnd"/>
      <w:r w:rsidR="00FD2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муниципальным образованием</w:t>
      </w:r>
      <w:r w:rsidR="00B40390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на основе реестров главных распорядителей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2E39">
        <w:rPr>
          <w:rFonts w:ascii="Times New Roman" w:eastAsia="Times New Roman" w:hAnsi="Times New Roman" w:cs="Times New Roman"/>
          <w:sz w:val="24"/>
          <w:szCs w:val="24"/>
        </w:rPr>
        <w:t>В целях настоящего Порядка под реестром расходных обязательств главного распорядителя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(далее - Реестр главного распорядителя) понимается часть Реестра, формируемая на постоянно обновляемой основе главным распорядителем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по расходным обязательствам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, подлежащим исполнению за счет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, предусмотренных соответствующему главному распорядителю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4FB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FD2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, и представляемая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в финансовое управление администрации  Ершовского муниципального района 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6. Главные распорядители средств бюджета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D63939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осуществляют ведение Реестров главных распорядителей</w:t>
      </w:r>
      <w:r w:rsidR="00B2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Реестры главных распорядителей представляются </w:t>
      </w:r>
      <w:r w:rsidR="00B24F40">
        <w:rPr>
          <w:rFonts w:ascii="Times New Roman" w:eastAsia="Times New Roman" w:hAnsi="Times New Roman" w:cs="Times New Roman"/>
          <w:sz w:val="24"/>
          <w:szCs w:val="24"/>
        </w:rPr>
        <w:t xml:space="preserve">в финансовое управление 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на бумажном носителе по форме согласно приложению к настоящему Порядку</w:t>
      </w:r>
      <w:r w:rsidR="00B24F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7. В случае несоответствия представленных Реестров главных распорядителей требованиям настоящего Порядка возвращаются на доработку. Доработанный Реестр главного распорядителя должен быть представлен в срок, установленный 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>финансовым управлением администрации ЕМР.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8. Главные распорядители средств бюджета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B65144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</w:t>
      </w:r>
      <w:r w:rsidR="00E83829">
        <w:rPr>
          <w:rFonts w:ascii="Times New Roman" w:eastAsia="Times New Roman" w:hAnsi="Times New Roman" w:cs="Times New Roman"/>
          <w:sz w:val="24"/>
          <w:szCs w:val="24"/>
        </w:rPr>
        <w:t>сводный р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еестр </w:t>
      </w:r>
      <w:r w:rsidR="00E83829">
        <w:rPr>
          <w:rFonts w:ascii="Times New Roman" w:eastAsia="Times New Roman" w:hAnsi="Times New Roman" w:cs="Times New Roman"/>
          <w:sz w:val="24"/>
          <w:szCs w:val="24"/>
        </w:rPr>
        <w:t>расходных обязательст</w:t>
      </w:r>
      <w:r w:rsidR="00FD24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 xml:space="preserve">в финансовое управление администрации Ершовского муниципального район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для представления в Министерство финансов 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>Саратовской области.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Pr="00B22E39">
        <w:rPr>
          <w:rFonts w:ascii="Times New Roman" w:eastAsia="Times New Roman" w:hAnsi="Times New Roman" w:cs="Times New Roman"/>
          <w:sz w:val="24"/>
          <w:szCs w:val="24"/>
        </w:rPr>
        <w:lastRenderedPageBreak/>
        <w:t>9. Главные распорядители средств бюджета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при ведении Реестров главных распорядителей обязаны:</w:t>
      </w:r>
      <w:proofErr w:type="gramStart"/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>определять расходные обязательства, увязывать их с полномочиями органов государственной власти области и классифицир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овать по соответствующим видам;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проводить расчеты объемов средств, необходимых на исполнение соответс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твующих расходных обязательств;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проводить мониторинг нормативной правовой базы, отслеживать внесение изменений в действующие нормативные правовые акты, принятие новых нормативных правовых актов, зак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лючение договоров и соглашений;</w:t>
      </w:r>
      <w:proofErr w:type="gramStart"/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представлять Реестры главных распорядителей в 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 xml:space="preserve">финансовое управление администрации </w:t>
      </w:r>
      <w:r w:rsidR="006048F5">
        <w:rPr>
          <w:rFonts w:ascii="Times New Roman" w:eastAsia="Times New Roman" w:hAnsi="Times New Roman" w:cs="Times New Roman"/>
          <w:sz w:val="24"/>
          <w:szCs w:val="24"/>
        </w:rPr>
        <w:t>Ершовского муниципального района.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48F5" w:rsidRDefault="006048F5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8F5" w:rsidRDefault="006048F5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8F5" w:rsidRDefault="006048F5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6D81" w:rsidRDefault="00596D81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8F5" w:rsidRDefault="006048F5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8F5" w:rsidRPr="00B22E39" w:rsidRDefault="006048F5" w:rsidP="003C442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4355" w:rsidRDefault="008F4355" w:rsidP="008F4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24FB" w:rsidRDefault="00FD24FB" w:rsidP="008F4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4355" w:rsidRDefault="008F4355" w:rsidP="008F43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Порядку ведения реестра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расходных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администрации  </w:t>
      </w:r>
      <w:proofErr w:type="spellStart"/>
      <w:r w:rsidR="00366B98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355" w:rsidRDefault="008F4355" w:rsidP="008F43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F4355" w:rsidRDefault="008F4355" w:rsidP="008F43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Ершовского района </w:t>
      </w:r>
    </w:p>
    <w:p w:rsidR="008F4355" w:rsidRDefault="008F4355" w:rsidP="008F4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FD24FB">
        <w:rPr>
          <w:rFonts w:ascii="Times New Roman" w:eastAsia="Times New Roman" w:hAnsi="Times New Roman" w:cs="Times New Roman"/>
          <w:sz w:val="24"/>
          <w:szCs w:val="24"/>
        </w:rPr>
        <w:t>21.09</w:t>
      </w:r>
      <w:r>
        <w:rPr>
          <w:rFonts w:ascii="Times New Roman" w:eastAsia="Times New Roman" w:hAnsi="Times New Roman" w:cs="Times New Roman"/>
          <w:sz w:val="24"/>
          <w:szCs w:val="24"/>
        </w:rPr>
        <w:t>.2017 г.</w:t>
      </w:r>
      <w:r w:rsidR="00FD2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D24FB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4355" w:rsidRDefault="008F4355" w:rsidP="008F4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4FB" w:rsidRDefault="008F4355" w:rsidP="008F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расходных обязательств ___________________________________</w:t>
      </w:r>
      <w:r w:rsidR="00FD24FB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</w:t>
      </w:r>
    </w:p>
    <w:p w:rsidR="008F4355" w:rsidRDefault="008F4355" w:rsidP="00FD24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__________________</w:t>
      </w:r>
    </w:p>
    <w:p w:rsidR="008F4355" w:rsidRDefault="008F4355" w:rsidP="008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907152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главного распорядителя средств бюджета)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Ind w:w="-381" w:type="dxa"/>
        <w:tblLook w:val="04A0"/>
      </w:tblPr>
      <w:tblGrid>
        <w:gridCol w:w="432"/>
        <w:gridCol w:w="250"/>
        <w:gridCol w:w="246"/>
        <w:gridCol w:w="703"/>
        <w:gridCol w:w="837"/>
        <w:gridCol w:w="685"/>
        <w:gridCol w:w="698"/>
        <w:gridCol w:w="837"/>
        <w:gridCol w:w="685"/>
        <w:gridCol w:w="698"/>
        <w:gridCol w:w="445"/>
        <w:gridCol w:w="499"/>
        <w:gridCol w:w="582"/>
        <w:gridCol w:w="659"/>
        <w:gridCol w:w="514"/>
        <w:gridCol w:w="514"/>
        <w:gridCol w:w="542"/>
      </w:tblGrid>
      <w:tr w:rsidR="008F4355" w:rsidTr="00FD24FB">
        <w:trPr>
          <w:trHeight w:val="15"/>
          <w:tblCellSpacing w:w="15" w:type="dxa"/>
        </w:trPr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</w:tr>
      <w:tr w:rsidR="008F4355" w:rsidTr="00FD24FB">
        <w:trPr>
          <w:tblCellSpacing w:w="15" w:type="dxa"/>
        </w:trPr>
        <w:tc>
          <w:tcPr>
            <w:tcW w:w="124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Нормативное правовое регулирование, определяющее финансовое обеспечение и порядок расходования средств </w:t>
            </w:r>
          </w:p>
        </w:tc>
        <w:tc>
          <w:tcPr>
            <w:tcW w:w="30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 (тыс. руб.)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F4355" w:rsidTr="00FD24FB">
        <w:trPr>
          <w:tblCellSpacing w:w="15" w:type="dxa"/>
        </w:trPr>
        <w:tc>
          <w:tcPr>
            <w:tcW w:w="124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полномочия, расходного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обяза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правовые акты, договоры, соглашения Саратовской области</w:t>
            </w:r>
          </w:p>
        </w:tc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</w:t>
            </w:r>
            <w:r w:rsidR="00FD24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ые акты, договоры, соглашения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____________________МО 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отчетный финансовый год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очередной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плановый период </w:t>
            </w:r>
          </w:p>
        </w:tc>
        <w:tc>
          <w:tcPr>
            <w:tcW w:w="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  <w:tr w:rsidR="008F4355" w:rsidTr="00FD24FB">
        <w:trPr>
          <w:tblCellSpacing w:w="15" w:type="dxa"/>
        </w:trPr>
        <w:tc>
          <w:tcPr>
            <w:tcW w:w="12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и реквизиты нормативного правового акта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статьи, части, пункта, подпункта, абзаца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вступления в силу и срок действия 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и реквизиты нормативного правового акта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статьи, части, пункта, подпункта, абзаца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вступления в силу и срок действия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лани-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но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+1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+2 </w:t>
            </w:r>
          </w:p>
        </w:tc>
        <w:tc>
          <w:tcPr>
            <w:tcW w:w="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  <w:tr w:rsidR="008F4355" w:rsidTr="00FD24FB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  <w:tr w:rsidR="008F4355" w:rsidTr="00FD24FB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  <w:tr w:rsidR="008F4355" w:rsidTr="00FD24FB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</w:tbl>
    <w:p w:rsidR="008F4355" w:rsidRDefault="008F4355" w:rsidP="008F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__________________МО                                            ________________                                           __________________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( подпись)                                                                                          </w:t>
      </w:r>
      <w:r w:rsidR="0090715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(расшифровка подписи)</w:t>
      </w:r>
    </w:p>
    <w:p w:rsidR="008F4355" w:rsidRDefault="008F4355" w:rsidP="008F4355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________________                                          ________________                                                 </w:t>
      </w:r>
      <w:r w:rsidR="00907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</w:t>
      </w:r>
      <w:r w:rsidR="00907152">
        <w:rPr>
          <w:rFonts w:ascii="Times New Roman" w:eastAsia="Times New Roman" w:hAnsi="Times New Roman" w:cs="Times New Roman"/>
          <w:sz w:val="16"/>
          <w:szCs w:val="16"/>
        </w:rPr>
        <w:t>(Ф.И.О.)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</w:t>
      </w:r>
      <w:r w:rsidR="0090715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F1648" w:rsidRDefault="00AF1648" w:rsidP="003C4421">
      <w:pPr>
        <w:contextualSpacing/>
      </w:pPr>
      <w:bookmarkStart w:id="0" w:name="_GoBack"/>
      <w:bookmarkEnd w:id="0"/>
    </w:p>
    <w:sectPr w:rsidR="00AF1648" w:rsidSect="00BF77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E39"/>
    <w:rsid w:val="00051507"/>
    <w:rsid w:val="000B2F00"/>
    <w:rsid w:val="00142F77"/>
    <w:rsid w:val="001D09C1"/>
    <w:rsid w:val="00357E90"/>
    <w:rsid w:val="00366B98"/>
    <w:rsid w:val="003C4421"/>
    <w:rsid w:val="003D0664"/>
    <w:rsid w:val="003D1E25"/>
    <w:rsid w:val="003E5F8B"/>
    <w:rsid w:val="004749C0"/>
    <w:rsid w:val="00596D81"/>
    <w:rsid w:val="005A0FA5"/>
    <w:rsid w:val="005B1FF3"/>
    <w:rsid w:val="006048F5"/>
    <w:rsid w:val="00720E4F"/>
    <w:rsid w:val="007966A7"/>
    <w:rsid w:val="008B67C6"/>
    <w:rsid w:val="008C4BAA"/>
    <w:rsid w:val="008C6729"/>
    <w:rsid w:val="008F4355"/>
    <w:rsid w:val="00907152"/>
    <w:rsid w:val="00915C59"/>
    <w:rsid w:val="00930630"/>
    <w:rsid w:val="009F3A68"/>
    <w:rsid w:val="00A35F31"/>
    <w:rsid w:val="00AB235A"/>
    <w:rsid w:val="00AF1648"/>
    <w:rsid w:val="00B22E39"/>
    <w:rsid w:val="00B24F40"/>
    <w:rsid w:val="00B40390"/>
    <w:rsid w:val="00B65144"/>
    <w:rsid w:val="00BF77BE"/>
    <w:rsid w:val="00C50374"/>
    <w:rsid w:val="00D471A1"/>
    <w:rsid w:val="00D63939"/>
    <w:rsid w:val="00DF0405"/>
    <w:rsid w:val="00E41CEA"/>
    <w:rsid w:val="00E64531"/>
    <w:rsid w:val="00E83829"/>
    <w:rsid w:val="00EF374C"/>
    <w:rsid w:val="00FD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9"/>
  </w:style>
  <w:style w:type="paragraph" w:styleId="1">
    <w:name w:val="heading 1"/>
    <w:basedOn w:val="a"/>
    <w:link w:val="10"/>
    <w:uiPriority w:val="9"/>
    <w:qFormat/>
    <w:rsid w:val="00B22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2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2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22E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D8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E5F8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E5F8B"/>
    <w:rPr>
      <w:rFonts w:ascii="Times New Roman" w:eastAsia="Calibri" w:hAnsi="Times New Roman" w:cs="Times New Roman"/>
      <w:sz w:val="28"/>
      <w:szCs w:val="20"/>
    </w:rPr>
  </w:style>
  <w:style w:type="paragraph" w:styleId="a8">
    <w:name w:val="header"/>
    <w:basedOn w:val="a"/>
    <w:link w:val="a9"/>
    <w:rsid w:val="00AB2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AB235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B9B0-8640-4F3D-89CD-30643D93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Shinalieva</dc:creator>
  <cp:lastModifiedBy>User</cp:lastModifiedBy>
  <cp:revision>4</cp:revision>
  <cp:lastPrinted>2017-08-09T12:35:00Z</cp:lastPrinted>
  <dcterms:created xsi:type="dcterms:W3CDTF">2017-08-09T12:33:00Z</dcterms:created>
  <dcterms:modified xsi:type="dcterms:W3CDTF">2017-09-20T16:30:00Z</dcterms:modified>
</cp:coreProperties>
</file>